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0A1" w:rsidRDefault="002070A1" w:rsidP="002070A1">
      <w:bookmarkStart w:id="0" w:name="_GoBack"/>
      <w:bookmarkEnd w:id="0"/>
    </w:p>
    <w:p w:rsidR="002070A1" w:rsidRDefault="002070A1" w:rsidP="002070A1">
      <w:r>
        <w:t>*****</w:t>
      </w:r>
    </w:p>
    <w:p w:rsidR="002070A1" w:rsidRDefault="002070A1" w:rsidP="002070A1">
      <w:pPr>
        <w:pStyle w:val="PlainText"/>
      </w:pPr>
      <w:proofErr w:type="gramStart"/>
      <w:r>
        <w:t>UNIVERSITY OF GEORGIA.</w:t>
      </w:r>
      <w:proofErr w:type="gramEnd"/>
      <w:r>
        <w:t xml:space="preserve"> The Department of Sociology invites applications for an assistant professor (tenure-track) position to begin </w:t>
      </w:r>
      <w:proofErr w:type="gramStart"/>
      <w:r>
        <w:t>Fall</w:t>
      </w:r>
      <w:proofErr w:type="gramEnd"/>
      <w:r>
        <w:t xml:space="preserve"> 2013.  We are looking for outstanding scholars with expertise in criminology, law, or deviance.  Candidates should have a Ph.D. in Sociology or should have completed all the requirements for this degree by August 12, 2013. However, a Ph.D. in a closely related discipline may suffice if there is a clear and strong sociological emphasis in the candidate’s degree program and record. We especially encourage applications from candidates whose scholarship will also complement or enhance one or more of the department’s existing areas of strength. We seek candidates with a record of high quality research and who show promise of securing external funding.  Candidates must be willing to teach sociology courses that are part of the curriculum for Criminal Justice Studies majors.  All faculty members are expected to support the college's goals of creating and sustaining a diverse and inclusive learning environment.  We invite interested candidates to visit our web site to learn more about the Sociology Department (</w:t>
      </w:r>
      <w:hyperlink r:id="rId5" w:history="1">
        <w:r>
          <w:rPr>
            <w:rStyle w:val="Hyperlink"/>
          </w:rPr>
          <w:t>http://sociology.uga.edu/</w:t>
        </w:r>
      </w:hyperlink>
      <w:r>
        <w:t>).  The Sociology Department has strong ties to the Owens Institute of Behavioral Research (</w:t>
      </w:r>
      <w:hyperlink r:id="rId6" w:history="1">
        <w:r>
          <w:rPr>
            <w:rStyle w:val="Hyperlink"/>
          </w:rPr>
          <w:t>http://www.ibr.uga.edu/</w:t>
        </w:r>
      </w:hyperlink>
      <w:r>
        <w:t xml:space="preserve">).  Please submit applications online at </w:t>
      </w:r>
      <w:hyperlink r:id="rId7" w:history="1">
        <w:r>
          <w:rPr>
            <w:rStyle w:val="Hyperlink"/>
          </w:rPr>
          <w:t>https://www.franklin.uga.edu/jobs</w:t>
        </w:r>
      </w:hyperlink>
      <w:r>
        <w:t>.  Inquiries may be directed to the chair of the recruitment committee, Jody Clay-Warner (</w:t>
      </w:r>
      <w:hyperlink r:id="rId8" w:history="1">
        <w:r>
          <w:rPr>
            <w:rStyle w:val="Hyperlink"/>
          </w:rPr>
          <w:t>jclayw@uga.edu</w:t>
        </w:r>
      </w:hyperlink>
      <w:r>
        <w:t>).</w:t>
      </w:r>
    </w:p>
    <w:p w:rsidR="002070A1" w:rsidRDefault="002070A1" w:rsidP="002070A1">
      <w:pPr>
        <w:pStyle w:val="PlainText"/>
      </w:pPr>
      <w:r>
        <w:t>The Department of Sociology, the Criminal Justice Studies Program, the Franklin College of Arts and Sciences and its many units, and the University of Georgia are committed to increasing the diversity of its faculty and students, and sustaining a work and learning environment that is inclusive. Women, minorities, and people with disabilities are encouraged to apply. Georgia is well known for its quality of life in regard to both outdoor and urban activities (</w:t>
      </w:r>
      <w:hyperlink r:id="rId9" w:history="1">
        <w:r>
          <w:rPr>
            <w:rStyle w:val="Hyperlink"/>
          </w:rPr>
          <w:t>www.georgia.gov</w:t>
        </w:r>
      </w:hyperlink>
      <w:r>
        <w:t>). UGA is a land- and sea-grant institution located in Athens, 90 miles northeast of Atlanta, the state capital (</w:t>
      </w:r>
      <w:hyperlink r:id="rId10" w:history="1">
        <w:r>
          <w:rPr>
            <w:rStyle w:val="Hyperlink"/>
          </w:rPr>
          <w:t>www.visitathensga.com</w:t>
        </w:r>
      </w:hyperlink>
      <w:r>
        <w:t xml:space="preserve">; </w:t>
      </w:r>
      <w:hyperlink r:id="rId11" w:history="1">
        <w:r>
          <w:rPr>
            <w:rStyle w:val="Hyperlink"/>
          </w:rPr>
          <w:t>www.uga.edu</w:t>
        </w:r>
      </w:hyperlink>
      <w:r>
        <w:t>).  Review of applications will begin October 31, 2012, and will continue until the position is filled.  The University of Georgia is an EEO/AA institution.</w:t>
      </w:r>
    </w:p>
    <w:p w:rsidR="002070A1" w:rsidRDefault="002070A1">
      <w:pPr>
        <w:spacing w:after="200" w:line="276" w:lineRule="auto"/>
      </w:pPr>
      <w:r>
        <w:br w:type="page"/>
      </w:r>
    </w:p>
    <w:tbl>
      <w:tblPr>
        <w:tblW w:w="8055" w:type="dxa"/>
        <w:tblCellSpacing w:w="0" w:type="dxa"/>
        <w:tblCellMar>
          <w:left w:w="0" w:type="dxa"/>
          <w:right w:w="0" w:type="dxa"/>
        </w:tblCellMar>
        <w:tblLook w:val="04A0" w:firstRow="1" w:lastRow="0" w:firstColumn="1" w:lastColumn="0" w:noHBand="0" w:noVBand="1"/>
      </w:tblPr>
      <w:tblGrid>
        <w:gridCol w:w="810"/>
        <w:gridCol w:w="30"/>
        <w:gridCol w:w="6870"/>
        <w:gridCol w:w="30"/>
        <w:gridCol w:w="315"/>
      </w:tblGrid>
      <w:tr w:rsidR="002070A1" w:rsidTr="002070A1">
        <w:trPr>
          <w:gridAfter w:val="1"/>
          <w:wAfter w:w="315" w:type="dxa"/>
          <w:trHeight w:val="1260"/>
          <w:tblCellSpacing w:w="0" w:type="dxa"/>
        </w:trPr>
        <w:tc>
          <w:tcPr>
            <w:tcW w:w="810" w:type="dxa"/>
            <w:vMerge w:val="restart"/>
            <w:hideMark/>
          </w:tcPr>
          <w:p w:rsidR="002070A1" w:rsidRDefault="002070A1">
            <w:pPr>
              <w:rPr>
                <w:sz w:val="20"/>
                <w:szCs w:val="20"/>
              </w:rPr>
            </w:pPr>
          </w:p>
        </w:tc>
        <w:tc>
          <w:tcPr>
            <w:tcW w:w="6930" w:type="dxa"/>
            <w:gridSpan w:val="3"/>
            <w:vMerge w:val="restart"/>
            <w:hideMark/>
          </w:tcPr>
          <w:p w:rsidR="002070A1" w:rsidRDefault="002070A1">
            <w:pPr>
              <w:spacing w:line="300" w:lineRule="auto"/>
              <w:rPr>
                <w:rFonts w:ascii="Georgia" w:hAnsi="Georgia"/>
                <w:color w:val="000000"/>
                <w:sz w:val="18"/>
                <w:szCs w:val="18"/>
              </w:rPr>
            </w:pPr>
            <w:r>
              <w:rPr>
                <w:sz w:val="21"/>
                <w:szCs w:val="21"/>
              </w:rPr>
              <w:t xml:space="preserve">Dear Colleagues: </w:t>
            </w:r>
            <w:r>
              <w:rPr>
                <w:sz w:val="21"/>
                <w:szCs w:val="21"/>
              </w:rPr>
              <w:br/>
              <w:t>     We are pleased to announce a new Request for Proposals for early ca</w:t>
            </w:r>
            <w:r>
              <w:rPr>
                <w:sz w:val="21"/>
                <w:szCs w:val="21"/>
              </w:rPr>
              <w:softHyphen/>
              <w:t>reer scholars. Please share this announcement with prospective appli</w:t>
            </w:r>
            <w:r>
              <w:rPr>
                <w:sz w:val="21"/>
                <w:szCs w:val="21"/>
              </w:rPr>
              <w:softHyphen/>
              <w:t>cants and your colleagues. Thanks!</w:t>
            </w:r>
          </w:p>
        </w:tc>
      </w:tr>
      <w:tr w:rsidR="002070A1" w:rsidTr="002070A1">
        <w:trPr>
          <w:gridAfter w:val="1"/>
          <w:wAfter w:w="315" w:type="dxa"/>
          <w:trHeight w:val="360"/>
          <w:tblCellSpacing w:w="0" w:type="dxa"/>
        </w:trPr>
        <w:tc>
          <w:tcPr>
            <w:tcW w:w="0" w:type="auto"/>
            <w:vMerge/>
            <w:vAlign w:val="center"/>
            <w:hideMark/>
          </w:tcPr>
          <w:p w:rsidR="002070A1" w:rsidRDefault="002070A1">
            <w:pPr>
              <w:rPr>
                <w:sz w:val="20"/>
                <w:szCs w:val="20"/>
              </w:rPr>
            </w:pPr>
          </w:p>
        </w:tc>
        <w:tc>
          <w:tcPr>
            <w:tcW w:w="0" w:type="auto"/>
            <w:gridSpan w:val="3"/>
            <w:vMerge/>
            <w:vAlign w:val="center"/>
            <w:hideMark/>
          </w:tcPr>
          <w:p w:rsidR="002070A1" w:rsidRDefault="002070A1">
            <w:pPr>
              <w:rPr>
                <w:rFonts w:ascii="Georgia" w:hAnsi="Georgia"/>
                <w:color w:val="000000"/>
                <w:sz w:val="18"/>
                <w:szCs w:val="18"/>
              </w:rPr>
            </w:pPr>
          </w:p>
        </w:tc>
      </w:tr>
      <w:tr w:rsidR="002070A1" w:rsidTr="002070A1">
        <w:trPr>
          <w:gridAfter w:val="1"/>
          <w:wAfter w:w="315" w:type="dxa"/>
          <w:trHeight w:val="810"/>
          <w:tblCellSpacing w:w="0" w:type="dxa"/>
        </w:trPr>
        <w:tc>
          <w:tcPr>
            <w:tcW w:w="0" w:type="auto"/>
            <w:vMerge/>
            <w:vAlign w:val="center"/>
            <w:hideMark/>
          </w:tcPr>
          <w:p w:rsidR="002070A1" w:rsidRDefault="002070A1">
            <w:pPr>
              <w:rPr>
                <w:sz w:val="20"/>
                <w:szCs w:val="20"/>
              </w:rPr>
            </w:pPr>
          </w:p>
        </w:tc>
        <w:tc>
          <w:tcPr>
            <w:tcW w:w="6930" w:type="dxa"/>
            <w:gridSpan w:val="3"/>
            <w:shd w:val="clear" w:color="auto" w:fill="000000"/>
            <w:hideMark/>
          </w:tcPr>
          <w:p w:rsidR="002070A1" w:rsidRDefault="002070A1">
            <w:pPr>
              <w:pStyle w:val="Default"/>
              <w:jc w:val="center"/>
            </w:pPr>
            <w:r>
              <w:rPr>
                <w:b/>
                <w:bCs/>
                <w:i/>
                <w:iCs/>
                <w:color w:val="FFFFFF"/>
                <w:sz w:val="21"/>
                <w:szCs w:val="21"/>
              </w:rPr>
              <w:t xml:space="preserve">Announcing the Measures of Effective Teaching (MET) </w:t>
            </w:r>
          </w:p>
          <w:p w:rsidR="002070A1" w:rsidRDefault="002070A1">
            <w:pPr>
              <w:pStyle w:val="Default"/>
              <w:jc w:val="center"/>
            </w:pPr>
            <w:r>
              <w:rPr>
                <w:b/>
                <w:bCs/>
                <w:i/>
                <w:iCs/>
                <w:color w:val="FFFFFF"/>
                <w:sz w:val="21"/>
                <w:szCs w:val="21"/>
              </w:rPr>
              <w:t>Early Career Research Grants Competition</w:t>
            </w:r>
          </w:p>
        </w:tc>
      </w:tr>
      <w:tr w:rsidR="002070A1" w:rsidTr="002070A1">
        <w:trPr>
          <w:trHeight w:val="270"/>
          <w:tblCellSpacing w:w="0" w:type="dxa"/>
        </w:trPr>
        <w:tc>
          <w:tcPr>
            <w:tcW w:w="0" w:type="auto"/>
            <w:vMerge/>
            <w:vAlign w:val="center"/>
            <w:hideMark/>
          </w:tcPr>
          <w:p w:rsidR="002070A1" w:rsidRDefault="002070A1">
            <w:pPr>
              <w:rPr>
                <w:sz w:val="20"/>
                <w:szCs w:val="20"/>
              </w:rPr>
            </w:pPr>
          </w:p>
        </w:tc>
        <w:tc>
          <w:tcPr>
            <w:tcW w:w="7245" w:type="dxa"/>
            <w:gridSpan w:val="4"/>
            <w:hideMark/>
          </w:tcPr>
          <w:p w:rsidR="002070A1" w:rsidRDefault="002070A1">
            <w:pPr>
              <w:rPr>
                <w:sz w:val="20"/>
                <w:szCs w:val="20"/>
              </w:rPr>
            </w:pPr>
          </w:p>
        </w:tc>
      </w:tr>
      <w:tr w:rsidR="002070A1" w:rsidTr="002070A1">
        <w:trPr>
          <w:gridAfter w:val="2"/>
          <w:wAfter w:w="345" w:type="dxa"/>
          <w:trHeight w:val="11685"/>
          <w:tblCellSpacing w:w="0" w:type="dxa"/>
        </w:trPr>
        <w:tc>
          <w:tcPr>
            <w:tcW w:w="0" w:type="auto"/>
            <w:vMerge/>
            <w:vAlign w:val="center"/>
            <w:hideMark/>
          </w:tcPr>
          <w:p w:rsidR="002070A1" w:rsidRDefault="002070A1">
            <w:pPr>
              <w:rPr>
                <w:sz w:val="20"/>
                <w:szCs w:val="20"/>
              </w:rPr>
            </w:pPr>
          </w:p>
        </w:tc>
        <w:tc>
          <w:tcPr>
            <w:tcW w:w="30" w:type="dxa"/>
            <w:vMerge w:val="restart"/>
            <w:hideMark/>
          </w:tcPr>
          <w:p w:rsidR="002070A1" w:rsidRDefault="002070A1">
            <w:pPr>
              <w:rPr>
                <w:sz w:val="20"/>
                <w:szCs w:val="20"/>
              </w:rPr>
            </w:pPr>
          </w:p>
        </w:tc>
        <w:tc>
          <w:tcPr>
            <w:tcW w:w="6870" w:type="dxa"/>
            <w:vMerge w:val="restart"/>
            <w:hideMark/>
          </w:tcPr>
          <w:p w:rsidR="002070A1" w:rsidRDefault="002070A1">
            <w:pPr>
              <w:pStyle w:val="Default"/>
            </w:pPr>
            <w:r>
              <w:rPr>
                <w:sz w:val="12"/>
                <w:szCs w:val="12"/>
              </w:rPr>
              <w:t> </w:t>
            </w:r>
          </w:p>
          <w:p w:rsidR="002070A1" w:rsidRDefault="002070A1">
            <w:pPr>
              <w:pStyle w:val="Default"/>
            </w:pPr>
            <w:r>
              <w:t>The National Academy of Education, in partnership with the Uni</w:t>
            </w:r>
            <w:r>
              <w:softHyphen/>
              <w:t xml:space="preserve">versity of Michigan’s Institute for Social Research, is pleased to announce the </w:t>
            </w:r>
            <w:r>
              <w:rPr>
                <w:i/>
                <w:iCs/>
              </w:rPr>
              <w:t xml:space="preserve">Measures of Effective Teaching (MET) Early Career Research Grants </w:t>
            </w:r>
            <w:r>
              <w:t>competition. This program will award up to 10 grants of $25,000 each to conduct a research study using the extensive Measures of Effective Teaching Longitudinal Database. In conducting this study, grantees will receive free technical as</w:t>
            </w:r>
            <w:r>
              <w:softHyphen/>
              <w:t xml:space="preserve">sistance from members of the National Academy of Education and participate, at no cost, in a series of networking meetings aimed at building a new cadre of scholars interested in research on teaching. </w:t>
            </w:r>
            <w:r>
              <w:rPr>
                <w:b/>
                <w:bCs/>
              </w:rPr>
              <w:t xml:space="preserve">Eligibility </w:t>
            </w:r>
            <w:r>
              <w:t>for the grants program is limited to scholars who received their doctorate after August 31, 2007. In</w:t>
            </w:r>
            <w:r>
              <w:softHyphen/>
              <w:t>dividuals working in a variety of disciplines, including, but not limited to education, economics, psychometrics, psychology, so</w:t>
            </w:r>
            <w:r>
              <w:softHyphen/>
              <w:t>ciology, and statistics are encouraged to apply. Applications from members of under-represented groups are encouraged.</w:t>
            </w:r>
          </w:p>
          <w:p w:rsidR="002070A1" w:rsidRDefault="002070A1">
            <w:pPr>
              <w:pStyle w:val="Default"/>
            </w:pPr>
            <w:r>
              <w:t> </w:t>
            </w:r>
          </w:p>
          <w:p w:rsidR="002070A1" w:rsidRDefault="002070A1">
            <w:pPr>
              <w:pStyle w:val="Default"/>
            </w:pPr>
            <w:r>
              <w:t>This is a field-initiated grants competition. The Measures of Effec</w:t>
            </w:r>
            <w:r>
              <w:softHyphen/>
              <w:t>tive Teaching (MET) Longitudinal Database includes data from one of the largest and most intensive studies of classroom teach</w:t>
            </w:r>
            <w:r>
              <w:softHyphen/>
              <w:t>ing ever conducted in the United States. Over a two-year period, with support from the Bill and Melinda Gates Foundation, MET researchers collected numerous indicators of teaching quality in the classrooms of more than 2500 fourth- through ninth-grade teachers working in six large school districts in the United States. The MET Longitudinal Database includes: (a) measures of stu</w:t>
            </w:r>
            <w:r>
              <w:softHyphen/>
              <w:t>dents’ achievement in each participating teacher’s classrooms; (b) video-recorded lessons taught by each teacher and scored using multiple classroom observation protocols; (c) a survey of participating students; (d) paper and pencil assessments of teachers’ professional knowledge for teaching; and (e) data from several other teacher and principal surveys. The data set can be used to explore many different basic and applied questions about teaching effectiveness, and to develop and validate new meas</w:t>
            </w:r>
            <w:r>
              <w:softHyphen/>
              <w:t xml:space="preserve">ures of teaching. </w:t>
            </w:r>
          </w:p>
          <w:p w:rsidR="002070A1" w:rsidRDefault="002070A1">
            <w:pPr>
              <w:pStyle w:val="Default"/>
            </w:pPr>
            <w:r>
              <w:t> </w:t>
            </w:r>
          </w:p>
          <w:p w:rsidR="002070A1" w:rsidRDefault="002070A1">
            <w:pPr>
              <w:pStyle w:val="Default"/>
            </w:pPr>
            <w:r>
              <w:t>Additional information about the Measures of Effective Teaching Early Career Research Grants program, including proposal appli</w:t>
            </w:r>
            <w:r>
              <w:softHyphen/>
              <w:t xml:space="preserve">cation forms, can be accessed at </w:t>
            </w:r>
            <w:hyperlink r:id="rId12" w:history="1">
              <w:r>
                <w:rPr>
                  <w:rStyle w:val="Hyperlink"/>
                </w:rPr>
                <w:t>www.naeducation.org</w:t>
              </w:r>
            </w:hyperlink>
            <w:r>
              <w:t>. Com</w:t>
            </w:r>
            <w:r>
              <w:softHyphen/>
              <w:t>pleted applications must be submitted to the National Academy of Education’s online submission system by 11:59 Pacific time on December, 15 2012, with funding decisions announced in Janu</w:t>
            </w:r>
            <w:r>
              <w:softHyphen/>
              <w:t xml:space="preserve">ary, 2013. </w:t>
            </w:r>
          </w:p>
          <w:p w:rsidR="002070A1" w:rsidRDefault="002070A1">
            <w:pPr>
              <w:pStyle w:val="Default"/>
            </w:pPr>
            <w:r>
              <w:t> </w:t>
            </w:r>
          </w:p>
          <w:p w:rsidR="002070A1" w:rsidRDefault="002070A1">
            <w:pPr>
              <w:pStyle w:val="Default"/>
            </w:pPr>
            <w:r>
              <w:t xml:space="preserve">Please visit </w:t>
            </w:r>
            <w:hyperlink r:id="rId13" w:history="1">
              <w:r>
                <w:rPr>
                  <w:rStyle w:val="Hyperlink"/>
                  <w:b/>
                  <w:bCs/>
                </w:rPr>
                <w:t>www.naeducation.org</w:t>
              </w:r>
            </w:hyperlink>
            <w:r>
              <w:rPr>
                <w:b/>
                <w:bCs/>
              </w:rPr>
              <w:t xml:space="preserve"> </w:t>
            </w:r>
            <w:r>
              <w:t>for more information.</w:t>
            </w:r>
          </w:p>
          <w:p w:rsidR="002070A1" w:rsidRDefault="002070A1">
            <w:pPr>
              <w:pStyle w:val="Default"/>
            </w:pPr>
            <w:r>
              <w:t> </w:t>
            </w:r>
          </w:p>
        </w:tc>
      </w:tr>
      <w:tr w:rsidR="002070A1" w:rsidTr="002070A1">
        <w:trPr>
          <w:gridAfter w:val="2"/>
          <w:wAfter w:w="345" w:type="dxa"/>
          <w:trHeight w:val="276"/>
          <w:tblCellSpacing w:w="0" w:type="dxa"/>
        </w:trPr>
        <w:tc>
          <w:tcPr>
            <w:tcW w:w="0" w:type="auto"/>
            <w:vMerge/>
            <w:vAlign w:val="center"/>
            <w:hideMark/>
          </w:tcPr>
          <w:p w:rsidR="002070A1" w:rsidRDefault="002070A1">
            <w:pPr>
              <w:rPr>
                <w:sz w:val="20"/>
                <w:szCs w:val="20"/>
              </w:rPr>
            </w:pPr>
          </w:p>
        </w:tc>
        <w:tc>
          <w:tcPr>
            <w:tcW w:w="0" w:type="auto"/>
            <w:vMerge/>
            <w:vAlign w:val="center"/>
            <w:hideMark/>
          </w:tcPr>
          <w:p w:rsidR="002070A1" w:rsidRDefault="002070A1">
            <w:pPr>
              <w:rPr>
                <w:sz w:val="20"/>
                <w:szCs w:val="20"/>
              </w:rPr>
            </w:pPr>
          </w:p>
        </w:tc>
        <w:tc>
          <w:tcPr>
            <w:tcW w:w="0" w:type="auto"/>
            <w:vMerge/>
            <w:vAlign w:val="center"/>
            <w:hideMark/>
          </w:tcPr>
          <w:p w:rsidR="002070A1" w:rsidRDefault="002070A1">
            <w:pPr>
              <w:rPr>
                <w:rFonts w:ascii="Verdana" w:hAnsi="Verdana" w:cs="Times New Roman"/>
                <w:color w:val="000000"/>
                <w:sz w:val="20"/>
                <w:szCs w:val="20"/>
              </w:rPr>
            </w:pPr>
          </w:p>
        </w:tc>
      </w:tr>
    </w:tbl>
    <w:p w:rsidR="002070A1" w:rsidRDefault="002070A1" w:rsidP="002070A1">
      <w:pPr>
        <w:pBdr>
          <w:bottom w:val="dotted" w:sz="24" w:space="1" w:color="auto"/>
        </w:pBdr>
      </w:pPr>
    </w:p>
    <w:p w:rsidR="002070A1" w:rsidRDefault="002070A1" w:rsidP="002070A1">
      <w:pPr>
        <w:pBdr>
          <w:bottom w:val="dotted" w:sz="24" w:space="1" w:color="auto"/>
        </w:pBdr>
      </w:pPr>
    </w:p>
    <w:p w:rsidR="002070A1" w:rsidRDefault="002070A1" w:rsidP="002070A1"/>
    <w:p w:rsidR="00FE7ED2" w:rsidRDefault="002070A1" w:rsidP="002070A1">
      <w:r>
        <w:t xml:space="preserve">In our efforts to strengthen the pipeline to education research, AERA announces its 2013–2014 fellowship programs and funding opportunities for graduate students and early career scholars. These programs provide mentoring and funding support to develop research skills and conduct studies in education related fields and topics. We are seeking your assistance in sharing this information and identifying potential candidates. Information about the programs and the upcoming application deadlines are available at </w:t>
      </w:r>
      <w:hyperlink r:id="rId14" w:history="1">
        <w:r>
          <w:rPr>
            <w:rStyle w:val="Hyperlink"/>
          </w:rPr>
          <w:t>http://www.aera.net/AERAfundingopportunities</w:t>
        </w:r>
      </w:hyperlink>
      <w:r>
        <w:t>. Underrepresented racial and ethnic minorities and women are encouraged to apply. Below are brief descriptions of the AERA research funding opportunities.</w:t>
      </w:r>
      <w:r>
        <w:br/>
      </w:r>
      <w:r>
        <w:br/>
      </w:r>
      <w:r>
        <w:rPr>
          <w:i/>
          <w:iCs/>
        </w:rPr>
        <w:t>Minority Fellowship Program in Education Research</w:t>
      </w:r>
      <w:r>
        <w:rPr>
          <w:i/>
          <w:iCs/>
        </w:rPr>
        <w:br/>
      </w:r>
      <w:r>
        <w:t>AERA offers dissertation support through the Minority Dissertation Fellowship Program in Education Research. This program offers doctoral fellowships to enhance the competitiveness of outstanding minority scholars for academic appointments at major research universities by supporting their research and by providing mentoring and guidance toward completion of their doctoral studies. Application deadline: November 30, 2012.</w:t>
      </w:r>
      <w:r>
        <w:br/>
      </w:r>
      <w:r>
        <w:br/>
      </w:r>
      <w:r>
        <w:rPr>
          <w:i/>
          <w:iCs/>
        </w:rPr>
        <w:t>AERA-AIR Fellows Program</w:t>
      </w:r>
      <w:r>
        <w:rPr>
          <w:i/>
          <w:iCs/>
        </w:rPr>
        <w:br/>
      </w:r>
      <w:r>
        <w:t>In collaboration with the American Institutes for Research (AIR), the AERA-AIR Fellows Program aims to build the talent pool of high skilled education researchers experienced in large-scale studies in a major research organization. Fellows will receive mentoring from a diverse group of highly recognized researchers and practitioners in a variety of substantive areas in education. Fellows will hone their skills in all aspects of the research process from proposal development through writing and presentations. Up to three fellows are selected annually for a two-year, rotational position at AIR in Washington, DC. Application deadline: November 30, 2012.</w:t>
      </w:r>
      <w:r>
        <w:br/>
      </w:r>
      <w:r>
        <w:br/>
      </w:r>
      <w:r>
        <w:rPr>
          <w:i/>
          <w:iCs/>
        </w:rPr>
        <w:t>AERA-ETS Fellowship Program in Measurement and Education Research</w:t>
      </w:r>
      <w:r>
        <w:rPr>
          <w:i/>
          <w:iCs/>
        </w:rPr>
        <w:br/>
      </w:r>
      <w:r>
        <w:t>In collaboration with Educational Testing Service (ETS), AERA offers the AERA-ETS Fellowship Program in Measurement and Education Research. This fellowship is designed to provide learning opportunities and practical experience to recent doctoral degree recipients and to early career research scientists in areas such as educational measurement, assessment design, psychometrics, statistical analyses, large-scale evaluations, and other studies directed toward explaining student progress and achievement. Up to two fellows will be selected for this rotational research position at ETS's facilities in Princeton, NJ. Application deadline: November 30, 2012.</w:t>
      </w:r>
      <w:r>
        <w:br/>
      </w:r>
      <w:r>
        <w:br/>
      </w:r>
      <w:r>
        <w:rPr>
          <w:i/>
          <w:iCs/>
        </w:rPr>
        <w:t>AERA Grants Program</w:t>
      </w:r>
      <w:r>
        <w:rPr>
          <w:i/>
          <w:iCs/>
        </w:rPr>
        <w:br/>
      </w:r>
      <w:r>
        <w:t>The AERA Grants Program provides dissertation support and small grants for researchers who conduct studies of education policy and practice using quantitative methods and data from the large-scale data sets sponsored by the National Center for Education Statistics and the National Science Foundation. Application deadline: January 23, 2013.</w:t>
      </w:r>
      <w:r>
        <w:br/>
      </w:r>
      <w:r>
        <w:br/>
        <w:t xml:space="preserve">Visit </w:t>
      </w:r>
      <w:hyperlink r:id="rId15" w:history="1">
        <w:r>
          <w:rPr>
            <w:rStyle w:val="Hyperlink"/>
          </w:rPr>
          <w:t>http://www.aera.net/AERAfundingopportunities</w:t>
        </w:r>
      </w:hyperlink>
      <w:r>
        <w:t xml:space="preserve"> for complete program descriptions and application information.</w:t>
      </w:r>
      <w:r>
        <w:br/>
      </w:r>
    </w:p>
    <w:sectPr w:rsidR="00FE7E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0A1"/>
    <w:rsid w:val="002070A1"/>
    <w:rsid w:val="005A241A"/>
    <w:rsid w:val="00FE7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0A1"/>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070A1"/>
    <w:rPr>
      <w:color w:val="0000FF" w:themeColor="hyperlink"/>
      <w:u w:val="single"/>
    </w:rPr>
  </w:style>
  <w:style w:type="paragraph" w:styleId="PlainText">
    <w:name w:val="Plain Text"/>
    <w:basedOn w:val="Normal"/>
    <w:link w:val="PlainTextChar"/>
    <w:uiPriority w:val="99"/>
    <w:semiHidden/>
    <w:unhideWhenUsed/>
    <w:rsid w:val="002070A1"/>
    <w:rPr>
      <w:rFonts w:ascii="Calibri" w:hAnsi="Calibri"/>
      <w:szCs w:val="21"/>
    </w:rPr>
  </w:style>
  <w:style w:type="character" w:customStyle="1" w:styleId="PlainTextChar">
    <w:name w:val="Plain Text Char"/>
    <w:basedOn w:val="DefaultParagraphFont"/>
    <w:link w:val="PlainText"/>
    <w:uiPriority w:val="99"/>
    <w:semiHidden/>
    <w:rsid w:val="002070A1"/>
    <w:rPr>
      <w:rFonts w:ascii="Calibri" w:hAnsi="Calibri"/>
      <w:szCs w:val="21"/>
    </w:rPr>
  </w:style>
  <w:style w:type="paragraph" w:customStyle="1" w:styleId="Default">
    <w:name w:val="Default"/>
    <w:basedOn w:val="Normal"/>
    <w:rsid w:val="002070A1"/>
    <w:pPr>
      <w:spacing w:line="266" w:lineRule="auto"/>
    </w:pPr>
    <w:rPr>
      <w:rFonts w:ascii="Verdana" w:hAnsi="Verdana" w:cs="Times New Roman"/>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70A1"/>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070A1"/>
    <w:rPr>
      <w:color w:val="0000FF" w:themeColor="hyperlink"/>
      <w:u w:val="single"/>
    </w:rPr>
  </w:style>
  <w:style w:type="paragraph" w:styleId="PlainText">
    <w:name w:val="Plain Text"/>
    <w:basedOn w:val="Normal"/>
    <w:link w:val="PlainTextChar"/>
    <w:uiPriority w:val="99"/>
    <w:semiHidden/>
    <w:unhideWhenUsed/>
    <w:rsid w:val="002070A1"/>
    <w:rPr>
      <w:rFonts w:ascii="Calibri" w:hAnsi="Calibri"/>
      <w:szCs w:val="21"/>
    </w:rPr>
  </w:style>
  <w:style w:type="character" w:customStyle="1" w:styleId="PlainTextChar">
    <w:name w:val="Plain Text Char"/>
    <w:basedOn w:val="DefaultParagraphFont"/>
    <w:link w:val="PlainText"/>
    <w:uiPriority w:val="99"/>
    <w:semiHidden/>
    <w:rsid w:val="002070A1"/>
    <w:rPr>
      <w:rFonts w:ascii="Calibri" w:hAnsi="Calibri"/>
      <w:szCs w:val="21"/>
    </w:rPr>
  </w:style>
  <w:style w:type="paragraph" w:customStyle="1" w:styleId="Default">
    <w:name w:val="Default"/>
    <w:basedOn w:val="Normal"/>
    <w:rsid w:val="002070A1"/>
    <w:pPr>
      <w:spacing w:line="266" w:lineRule="auto"/>
    </w:pPr>
    <w:rPr>
      <w:rFonts w:ascii="Verdana" w:hAnsi="Verdana" w:cs="Times New Roman"/>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503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clayw@uga.edu" TargetMode="External"/><Relationship Id="rId13" Type="http://schemas.openxmlformats.org/officeDocument/2006/relationships/hyperlink" Target="http://www.naeducation.org" TargetMode="External"/><Relationship Id="rId3" Type="http://schemas.openxmlformats.org/officeDocument/2006/relationships/settings" Target="settings.xml"/><Relationship Id="rId7" Type="http://schemas.openxmlformats.org/officeDocument/2006/relationships/hyperlink" Target="https://www.franklin.uga.edu/jobs" TargetMode="External"/><Relationship Id="rId12" Type="http://schemas.openxmlformats.org/officeDocument/2006/relationships/hyperlink" Target="http://www.naeducation.org"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ibr.uga.edu/" TargetMode="External"/><Relationship Id="rId11" Type="http://schemas.openxmlformats.org/officeDocument/2006/relationships/hyperlink" Target="http://www.uga.edu" TargetMode="External"/><Relationship Id="rId5" Type="http://schemas.openxmlformats.org/officeDocument/2006/relationships/hyperlink" Target="http://sociology.uga.edu/" TargetMode="External"/><Relationship Id="rId15" Type="http://schemas.openxmlformats.org/officeDocument/2006/relationships/hyperlink" Target="http://www.aera.net/AERAfundingopportunities" TargetMode="External"/><Relationship Id="rId10" Type="http://schemas.openxmlformats.org/officeDocument/2006/relationships/hyperlink" Target="http://www.visitathensga.com" TargetMode="External"/><Relationship Id="rId4" Type="http://schemas.openxmlformats.org/officeDocument/2006/relationships/webSettings" Target="webSettings.xml"/><Relationship Id="rId9" Type="http://schemas.openxmlformats.org/officeDocument/2006/relationships/hyperlink" Target="http://www.georgia.gov" TargetMode="External"/><Relationship Id="rId14" Type="http://schemas.openxmlformats.org/officeDocument/2006/relationships/hyperlink" Target="http://www.aera.net/AERAfundingopportun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1299</Words>
  <Characters>7408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University of Notre Dame</Company>
  <LinksUpToDate>false</LinksUpToDate>
  <CharactersWithSpaces>8690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ndadmin</dc:creator>
  <cp:lastModifiedBy>ndadmin</cp:lastModifiedBy>
  <cp:revision>2</cp:revision>
  <dcterms:created xsi:type="dcterms:W3CDTF">2012-10-12T20:36:00Z</dcterms:created>
  <dcterms:modified xsi:type="dcterms:W3CDTF">2012-10-12T20:36:00Z</dcterms:modified>
</cp:coreProperties>
</file>